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FDC1CA4" w:rsidR="001A53D6" w:rsidRPr="00C66E4D" w:rsidRDefault="001B030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1B030C">
              <w:rPr>
                <w:rFonts w:ascii="Times New Roman" w:hAnsi="Times New Roman" w:cs="Times New Roman"/>
                <w:b/>
                <w:color w:val="000000" w:themeColor="text1"/>
              </w:rPr>
              <w:t>JCRTO-2926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338BA827" w:rsidR="003069E0" w:rsidRPr="00C66E4D" w:rsidRDefault="001B030C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1B030C">
              <w:rPr>
                <w:rFonts w:ascii="Times New Roman" w:hAnsi="Times New Roman" w:cs="Times New Roman"/>
                <w:b/>
                <w:color w:val="000000" w:themeColor="text1"/>
              </w:rPr>
              <w:t>Cohen Yossi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5751F826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6413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1B030C" w:rsidRPr="001B03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Expression Signature Panel for Brain Tissues and Developmental Stages</w:t>
            </w:r>
          </w:p>
          <w:p w14:paraId="6DAFADD3" w14:textId="5FAAE0C3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B030C" w:rsidRPr="001B030C">
              <w:rPr>
                <w:rFonts w:ascii="Times New Roman" w:hAnsi="Times New Roman" w:cs="Times New Roman"/>
                <w:color w:val="000000" w:themeColor="text1"/>
              </w:rPr>
              <w:t xml:space="preserve">The article presents a promising tool for </w:t>
            </w:r>
            <w:proofErr w:type="spellStart"/>
            <w:r w:rsidR="001B030C" w:rsidRPr="001B030C">
              <w:rPr>
                <w:rFonts w:ascii="Times New Roman" w:hAnsi="Times New Roman" w:cs="Times New Roman"/>
                <w:color w:val="000000" w:themeColor="text1"/>
              </w:rPr>
              <w:t>neurogenomics</w:t>
            </w:r>
            <w:proofErr w:type="spellEnd"/>
            <w:r w:rsidR="001B030C" w:rsidRPr="001B030C">
              <w:rPr>
                <w:rFonts w:ascii="Times New Roman" w:hAnsi="Times New Roman" w:cs="Times New Roman"/>
                <w:color w:val="000000" w:themeColor="text1"/>
              </w:rPr>
              <w:t xml:space="preserve"> research and diagnostics, with potential applications in both research and clinical settings. However, further refinements and validations </w:t>
            </w:r>
            <w:proofErr w:type="gramStart"/>
            <w:r w:rsidR="001B030C" w:rsidRPr="001B030C">
              <w:rPr>
                <w:rFonts w:ascii="Times New Roman" w:hAnsi="Times New Roman" w:cs="Times New Roman"/>
                <w:color w:val="000000" w:themeColor="text1"/>
              </w:rPr>
              <w:t>are needed</w:t>
            </w:r>
            <w:proofErr w:type="gramEnd"/>
            <w:r w:rsidR="001B030C" w:rsidRPr="001B030C">
              <w:rPr>
                <w:rFonts w:ascii="Times New Roman" w:hAnsi="Times New Roman" w:cs="Times New Roman"/>
                <w:color w:val="000000" w:themeColor="text1"/>
              </w:rPr>
              <w:t xml:space="preserve"> to enhance its utility and address the current limitations.</w:t>
            </w:r>
          </w:p>
          <w:p w14:paraId="063C7FA3" w14:textId="77A0DE1A" w:rsidR="00424519" w:rsidRPr="001B030C" w:rsidRDefault="001B030C" w:rsidP="001B030C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creation of a tissue-specific </w:t>
            </w:r>
            <w:proofErr w:type="gram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expression intensity signature panel</w:t>
            </w:r>
            <w:proofErr w:type="gram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is a significant advancement in the field of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neurogenomics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. It offers a potentially powerful tool for improving diagnostic precision, especially in distinguishing between closely related brain tissues and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tumors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</w:t>
            </w:r>
          </w:p>
          <w:p w14:paraId="71757DC8" w14:textId="79F4F4C0" w:rsidR="001B030C" w:rsidRPr="001B030C" w:rsidRDefault="001B030C" w:rsidP="001B030C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use of data from 43 different normal and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tumor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brain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transcriptomes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and the application of the panel across multiple species and developmental stages, strengthens the validity and applicability of the findings.</w:t>
            </w:r>
          </w:p>
          <w:p w14:paraId="455E5379" w14:textId="50A9A3FC" w:rsidR="001B030C" w:rsidRPr="001B030C" w:rsidRDefault="001B030C" w:rsidP="001B030C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While the panel is effective at distinguishing between different brain tissues and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tumors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, its sensitivity in differentiating between normal and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tumor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tissues of the same cell origin, such as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ependyma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ependymoma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, is limited. This may restrict its utility in certain clinical contexts.</w:t>
            </w:r>
          </w:p>
          <w:p w14:paraId="1704D8E2" w14:textId="6BF101CB" w:rsidR="001B030C" w:rsidRPr="001B030C" w:rsidRDefault="001B030C" w:rsidP="001B030C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overlap of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glioma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transcriptomes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with normal cerebral reference signatures raises concerns about the purity of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tumor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samples or the potential complexity of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glioma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origins. This aspect needs further investigation to improve diagnostic accuracy in 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glioma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cases.</w:t>
            </w:r>
          </w:p>
          <w:p w14:paraId="17DEBE89" w14:textId="3A48D5F2" w:rsidR="001B030C" w:rsidRPr="001B030C" w:rsidRDefault="001B030C" w:rsidP="001B030C">
            <w:pPr>
              <w:pStyle w:val="ListParagraph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Although the panel shows utility across different microarray and RNA-</w:t>
            </w:r>
            <w:proofErr w:type="spellStart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seq</w:t>
            </w:r>
            <w:proofErr w:type="spellEnd"/>
            <w:r w:rsidRPr="001B030C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platforms, further validation on a broader range of datasets and platforms would strengthen the findings. The reliance on specific platforms might limit the panel's applicability in some research settings.</w:t>
            </w:r>
          </w:p>
          <w:p w14:paraId="387941E6" w14:textId="740F26C3" w:rsidR="0049531E" w:rsidRPr="00C66E4D" w:rsidRDefault="00DE24E6" w:rsidP="004245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97C1C7" w14:textId="77777777" w:rsidR="00B0765F" w:rsidRDefault="00B0765F" w:rsidP="00F65AB0">
      <w:pPr>
        <w:spacing w:after="0" w:line="240" w:lineRule="auto"/>
      </w:pPr>
      <w:r>
        <w:separator/>
      </w:r>
    </w:p>
  </w:endnote>
  <w:endnote w:type="continuationSeparator" w:id="0">
    <w:p w14:paraId="42A8CADE" w14:textId="77777777" w:rsidR="00B0765F" w:rsidRDefault="00B0765F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CD06CC" w14:textId="77777777" w:rsidR="00B0765F" w:rsidRDefault="00B0765F" w:rsidP="00F65AB0">
      <w:pPr>
        <w:spacing w:after="0" w:line="240" w:lineRule="auto"/>
      </w:pPr>
      <w:r>
        <w:separator/>
      </w:r>
    </w:p>
  </w:footnote>
  <w:footnote w:type="continuationSeparator" w:id="0">
    <w:p w14:paraId="22B5D22D" w14:textId="77777777" w:rsidR="00B0765F" w:rsidRDefault="00B0765F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092DF7"/>
    <w:multiLevelType w:val="hybridMultilevel"/>
    <w:tmpl w:val="3DC870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A54D83"/>
    <w:multiLevelType w:val="hybridMultilevel"/>
    <w:tmpl w:val="B11AD2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7"/>
  </w:num>
  <w:num w:numId="5">
    <w:abstractNumId w:val="9"/>
  </w:num>
  <w:num w:numId="6">
    <w:abstractNumId w:val="11"/>
  </w:num>
  <w:num w:numId="7">
    <w:abstractNumId w:val="18"/>
  </w:num>
  <w:num w:numId="8">
    <w:abstractNumId w:val="3"/>
  </w:num>
  <w:num w:numId="9">
    <w:abstractNumId w:val="13"/>
  </w:num>
  <w:num w:numId="10">
    <w:abstractNumId w:val="19"/>
  </w:num>
  <w:num w:numId="11">
    <w:abstractNumId w:val="20"/>
  </w:num>
  <w:num w:numId="12">
    <w:abstractNumId w:val="5"/>
  </w:num>
  <w:num w:numId="13">
    <w:abstractNumId w:val="15"/>
  </w:num>
  <w:num w:numId="14">
    <w:abstractNumId w:val="2"/>
  </w:num>
  <w:num w:numId="15">
    <w:abstractNumId w:val="10"/>
  </w:num>
  <w:num w:numId="16">
    <w:abstractNumId w:val="12"/>
  </w:num>
  <w:num w:numId="17">
    <w:abstractNumId w:val="4"/>
  </w:num>
  <w:num w:numId="18">
    <w:abstractNumId w:val="21"/>
  </w:num>
  <w:num w:numId="19">
    <w:abstractNumId w:val="8"/>
  </w:num>
  <w:num w:numId="20">
    <w:abstractNumId w:val="7"/>
  </w:num>
  <w:num w:numId="21">
    <w:abstractNumId w:val="14"/>
  </w:num>
  <w:num w:numId="22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030C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65F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5D61F-FBC0-49EE-9FB5-3D66DAF9E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2024-09-03T06:08:00Z</dcterms:created>
  <dcterms:modified xsi:type="dcterms:W3CDTF">2024-09-03T06:08:00Z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